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1C714">
      <w:pPr>
        <w:rPr>
          <w:rFonts w:hint="eastAsia"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</w:t>
      </w:r>
    </w:p>
    <w:p w14:paraId="68284C57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数字资源价值评定及共享细则</w:t>
      </w:r>
    </w:p>
    <w:p w14:paraId="43E9C813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</w:p>
    <w:p w14:paraId="22875705"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一、数字资源价值评定计算方式</w:t>
      </w:r>
    </w:p>
    <w:p w14:paraId="2323220A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数字资源价值评定采用“初始成本+综合调整系数+折旧”的模式，计算每个资源的具体价值。具体计算方法如下：</w:t>
      </w:r>
    </w:p>
    <w:p w14:paraId="199FB91F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  <w:r>
        <w:rPr>
          <w:rFonts w:hint="eastAsia" w:ascii="方正楷体_GBK" w:hAnsi="方正楷体_GBK" w:eastAsia="方正楷体_GBK" w:cs="方正楷体_GBK"/>
          <w:sz w:val="32"/>
          <w:szCs w:val="32"/>
        </w:rPr>
        <w:t>（一）资源初始价值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资源初始价值以资源的实际开发成本或采购成本为准。对于自建资源，以项目决算金额为准；对于采购资源，以实际采购合同金额为准；对于无明确成本的资源（如历史积累或个人劳动成果），可由专家评估小组参照同类资源市场价格或开发成本进行估算。</w:t>
      </w:r>
    </w:p>
    <w:p w14:paraId="17943D13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（二）资源综合调整系数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：资源综合调整系数是一个乘数，用于反映资源的质量、使用效益和时效性对初始价值的影响。该系数由专家评审小组根据以下维度进行综合评定，并直接给出0.8—1.2之间的单一数值。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4886"/>
        <w:gridCol w:w="2045"/>
      </w:tblGrid>
      <w:tr w14:paraId="2B07B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591" w:type="dxa"/>
            <w:noWrap w:val="0"/>
            <w:vAlign w:val="center"/>
          </w:tcPr>
          <w:p w14:paraId="6BA3BDB3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  <w:t>评估维度</w:t>
            </w:r>
          </w:p>
        </w:tc>
        <w:tc>
          <w:tcPr>
            <w:tcW w:w="4886" w:type="dxa"/>
            <w:noWrap w:val="0"/>
            <w:vAlign w:val="center"/>
          </w:tcPr>
          <w:p w14:paraId="7F21CB94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  <w:t>评定标准</w:t>
            </w:r>
          </w:p>
        </w:tc>
        <w:tc>
          <w:tcPr>
            <w:tcW w:w="2045" w:type="dxa"/>
            <w:noWrap w:val="0"/>
            <w:vAlign w:val="center"/>
          </w:tcPr>
          <w:p w14:paraId="6087ED34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  <w:t>建议系数范围</w:t>
            </w:r>
          </w:p>
        </w:tc>
      </w:tr>
      <w:tr w14:paraId="0E17F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1" w:type="dxa"/>
            <w:noWrap w:val="0"/>
            <w:vAlign w:val="center"/>
          </w:tcPr>
          <w:p w14:paraId="3F2ABBAA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  <w:t>资源质量</w:t>
            </w:r>
          </w:p>
        </w:tc>
        <w:tc>
          <w:tcPr>
            <w:tcW w:w="4886" w:type="dxa"/>
            <w:noWrap w:val="0"/>
            <w:vAlign w:val="top"/>
          </w:tcPr>
          <w:p w14:paraId="3ED06E0B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内容的权威性、准确性、完整性、创新性以及呈现形式的设计水平</w:t>
            </w:r>
          </w:p>
        </w:tc>
        <w:tc>
          <w:tcPr>
            <w:tcW w:w="2045" w:type="dxa"/>
            <w:vMerge w:val="restart"/>
            <w:noWrap w:val="0"/>
            <w:vAlign w:val="center"/>
          </w:tcPr>
          <w:p w14:paraId="13236F48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0.8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—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1.2</w:t>
            </w:r>
          </w:p>
        </w:tc>
      </w:tr>
      <w:tr w14:paraId="2A988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1" w:type="dxa"/>
            <w:noWrap w:val="0"/>
            <w:vAlign w:val="center"/>
          </w:tcPr>
          <w:p w14:paraId="2B379A9C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  <w:t>使用效益</w:t>
            </w:r>
          </w:p>
        </w:tc>
        <w:tc>
          <w:tcPr>
            <w:tcW w:w="4886" w:type="dxa"/>
            <w:noWrap w:val="0"/>
            <w:vAlign w:val="top"/>
          </w:tcPr>
          <w:p w14:paraId="0A647820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资源的受众范围、使用频率、用户反馈（如满意度、评价）以及对教学科研的支撑作用</w:t>
            </w:r>
          </w:p>
        </w:tc>
        <w:tc>
          <w:tcPr>
            <w:tcW w:w="2045" w:type="dxa"/>
            <w:vMerge w:val="continue"/>
            <w:noWrap w:val="0"/>
            <w:vAlign w:val="top"/>
          </w:tcPr>
          <w:p w14:paraId="783490DB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1F904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1" w:type="dxa"/>
            <w:noWrap w:val="0"/>
            <w:vAlign w:val="center"/>
          </w:tcPr>
          <w:p w14:paraId="7D21809B">
            <w:pPr>
              <w:spacing w:line="560" w:lineRule="exact"/>
              <w:jc w:val="center"/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8"/>
                <w:szCs w:val="28"/>
              </w:rPr>
              <w:t>时效性与更新</w:t>
            </w:r>
          </w:p>
        </w:tc>
        <w:tc>
          <w:tcPr>
            <w:tcW w:w="4886" w:type="dxa"/>
            <w:noWrap w:val="0"/>
            <w:vAlign w:val="top"/>
          </w:tcPr>
          <w:p w14:paraId="5976A7FE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资源内容的当前适用性、更新频率以及未来可持续更新的潜力</w:t>
            </w:r>
          </w:p>
        </w:tc>
        <w:tc>
          <w:tcPr>
            <w:tcW w:w="2045" w:type="dxa"/>
            <w:vMerge w:val="continue"/>
            <w:noWrap w:val="0"/>
            <w:vAlign w:val="top"/>
          </w:tcPr>
          <w:p w14:paraId="68162D7E">
            <w:pPr>
              <w:spacing w:line="5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 w14:paraId="36A36193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专家评审小组根据上述三个维度的综合表现，直接给出资源综合调整系数。如果资源质量高、使用效益好、时效性强，系数可评定为1.1或1.2；如果资源表现一般，系数可评定为1.0；如果资源表现较差，系数可评定为0.8或0.9。</w:t>
      </w:r>
    </w:p>
    <w:p w14:paraId="07086D77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）价值折旧规则：数字资源自建成并上线共享之日起，每年将进行价值折旧，以反映其时效性递减。折旧采用固定年限法，年折旧率原则上为10%，即当年为0，第二年为10%，第三年为20%，以此类推。</w:t>
      </w:r>
    </w:p>
    <w:p w14:paraId="6C8DCD76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（四）资源评估价值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：</w:t>
      </w:r>
    </w:p>
    <w:p w14:paraId="53769D8B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资源评估价值=资源初始价值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*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资源综合调整系数*（1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年折旧率）</w:t>
      </w:r>
    </w:p>
    <w:p w14:paraId="305F91F3">
      <w:pPr>
        <w:spacing w:line="560" w:lineRule="exact"/>
        <w:ind w:firstLine="643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  <w:t>二、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资源共享策略</w:t>
      </w:r>
    </w:p>
    <w:p w14:paraId="5D8D8D12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根据资源评估价值，并结合同类资源市场应用情况，原则上按评估价值的30%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40%进行共享，具体数值由共享双方商定。</w:t>
      </w:r>
    </w:p>
    <w:p w14:paraId="20B71E79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数字资源自建成之日起，满10年（含）的，其价值原则上视为已充分利用。对于已满10年的数字资源，经资源提供部门申请，并报数字资源建设领导小组办公室审批通过后，转为无条件共享资源，面向所有主体免费开放。</w:t>
      </w:r>
    </w:p>
    <w:p w14:paraId="2B1C3961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若资源虽已满10年，但仍具有重大价值或特殊用途（如历史文献、经典案例等），资源提供部门可提交专项报告，申请延长其有条件共享或有偿使用期限，经数字资源领导小组会议审批后确定。</w:t>
      </w:r>
    </w:p>
    <w:p w14:paraId="66780F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5E1B22"/>
    <w:rsid w:val="305E1B22"/>
    <w:rsid w:val="395D3729"/>
    <w:rsid w:val="3FDF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888</Words>
  <Characters>921</Characters>
  <Lines>0</Lines>
  <Paragraphs>0</Paragraphs>
  <TotalTime>0</TotalTime>
  <ScaleCrop>false</ScaleCrop>
  <LinksUpToDate>false</LinksUpToDate>
  <CharactersWithSpaces>947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2026-07-08T08:37:00Z</dcterms:created>
  <dc:creator>Lu_u</dc:creator>
  <cp:lastModifiedBy>Lu_u</cp:lastModifiedBy>
  <dcterms:modified xsi:type="dcterms:W3CDTF">2026-07-10T06:51:53Z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92CEE3D3A7004E9B9D7BA03AD0E8D90A_13</vt:lpwstr>
  </property>
  <property fmtid="{D5CDD505-2E9C-101B-9397-08002B2CF9AE}" pid="4" name="KSOTemplateDocerSaveRecord">
    <vt:lpwstr>eyJoZGlkIjoiNWQ1MTkxMDRiM2U1OGY0YzA3NTBlMDBhMGRiOWRmNjEiLCJ1c2VySWQiOiI1MjMxMjY2MTUifQ==</vt:lpwstr>
  </property>
</Properties>
</file>